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96" w:rsidRPr="00F7092C" w:rsidRDefault="00F7092C" w:rsidP="00F7092C">
      <w:pPr>
        <w:jc w:val="center"/>
        <w:rPr>
          <w:rFonts w:asciiTheme="majorHAnsi" w:hAnsiTheme="majorHAnsi"/>
          <w:b/>
          <w:sz w:val="36"/>
          <w:szCs w:val="36"/>
        </w:rPr>
      </w:pPr>
      <w:r w:rsidRPr="00F7092C">
        <w:rPr>
          <w:rFonts w:asciiTheme="majorHAnsi" w:hAnsiTheme="majorHAnsi"/>
          <w:b/>
          <w:sz w:val="36"/>
          <w:szCs w:val="36"/>
        </w:rPr>
        <w:t>A Guide to Juvenile Fines and Fees</w:t>
      </w:r>
    </w:p>
    <w:p w:rsidR="00F7092C" w:rsidRPr="00F7092C" w:rsidRDefault="00F7092C" w:rsidP="00F7092C">
      <w:pPr>
        <w:rPr>
          <w:rFonts w:asciiTheme="majorHAnsi" w:hAnsiTheme="majorHAnsi"/>
          <w:b/>
          <w:sz w:val="28"/>
          <w:szCs w:val="28"/>
        </w:rPr>
      </w:pPr>
      <w:r w:rsidRPr="00F7092C">
        <w:rPr>
          <w:rFonts w:asciiTheme="majorHAnsi" w:hAnsiTheme="majorHAnsi"/>
          <w:b/>
          <w:sz w:val="28"/>
          <w:szCs w:val="28"/>
        </w:rPr>
        <w:t>Financial Documents</w:t>
      </w:r>
    </w:p>
    <w:p w:rsidR="003F15DF" w:rsidRDefault="00F7092C" w:rsidP="00F7092C">
      <w:pPr>
        <w:rPr>
          <w:rFonts w:asciiTheme="majorHAnsi" w:hAnsiTheme="majorHAnsi"/>
        </w:rPr>
      </w:pPr>
      <w:r w:rsidRPr="00AF6292">
        <w:rPr>
          <w:rFonts w:asciiTheme="majorHAnsi" w:hAnsiTheme="majorHAnsi"/>
        </w:rPr>
        <w:t xml:space="preserve">Parents are required to complete and return the Juvenile Financial Documents to income qualify for some County services as well as help to determine monthly installment payment </w:t>
      </w:r>
      <w:r w:rsidR="003F15DF" w:rsidRPr="00AF6292">
        <w:rPr>
          <w:rFonts w:asciiTheme="majorHAnsi" w:hAnsiTheme="majorHAnsi"/>
        </w:rPr>
        <w:t>amounts.</w:t>
      </w:r>
    </w:p>
    <w:p w:rsidR="00F7092C" w:rsidRPr="00621FDE" w:rsidRDefault="00F7092C" w:rsidP="00F7092C">
      <w:pPr>
        <w:rPr>
          <w:rFonts w:asciiTheme="majorHAnsi" w:hAnsiTheme="majorHAnsi"/>
          <w:b/>
          <w:sz w:val="28"/>
          <w:szCs w:val="28"/>
        </w:rPr>
      </w:pPr>
      <w:r w:rsidRPr="00621FDE">
        <w:rPr>
          <w:rFonts w:asciiTheme="majorHAnsi" w:hAnsiTheme="majorHAnsi"/>
          <w:b/>
          <w:sz w:val="28"/>
          <w:szCs w:val="28"/>
        </w:rPr>
        <w:t xml:space="preserve">Costs Parents and Guardians are Responsible </w:t>
      </w:r>
      <w:r w:rsidR="003F15DF" w:rsidRPr="00621FDE">
        <w:rPr>
          <w:rFonts w:asciiTheme="majorHAnsi" w:hAnsiTheme="majorHAnsi"/>
          <w:b/>
          <w:sz w:val="28"/>
          <w:szCs w:val="28"/>
        </w:rPr>
        <w:t>to</w:t>
      </w:r>
      <w:r w:rsidRPr="00621FDE">
        <w:rPr>
          <w:rFonts w:asciiTheme="majorHAnsi" w:hAnsiTheme="majorHAnsi"/>
          <w:b/>
          <w:sz w:val="28"/>
          <w:szCs w:val="28"/>
        </w:rPr>
        <w:t xml:space="preserve"> Pay</w:t>
      </w:r>
    </w:p>
    <w:p w:rsidR="00621FDE" w:rsidRPr="00AF6292" w:rsidRDefault="00621FDE" w:rsidP="00F709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292">
        <w:rPr>
          <w:rFonts w:asciiTheme="majorHAnsi" w:hAnsiTheme="majorHAnsi"/>
        </w:rPr>
        <w:t>Detention Costs</w:t>
      </w:r>
    </w:p>
    <w:p w:rsidR="00621FDE" w:rsidRPr="00AF6292" w:rsidRDefault="00621FDE" w:rsidP="00F709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292">
        <w:rPr>
          <w:rFonts w:asciiTheme="majorHAnsi" w:hAnsiTheme="majorHAnsi"/>
        </w:rPr>
        <w:t>Public Defender Costs</w:t>
      </w:r>
    </w:p>
    <w:p w:rsidR="00621FDE" w:rsidRDefault="00621FDE" w:rsidP="00621FD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21FDE">
        <w:rPr>
          <w:rFonts w:asciiTheme="majorHAnsi" w:hAnsiTheme="majorHAnsi"/>
          <w:b/>
          <w:sz w:val="28"/>
          <w:szCs w:val="28"/>
        </w:rPr>
        <w:t>Costs Parents, Guardians, and Juvenile are Responsible to Pay</w:t>
      </w:r>
    </w:p>
    <w:p w:rsidR="00621FDE" w:rsidRDefault="00621FDE" w:rsidP="00621FD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21FDE">
        <w:rPr>
          <w:rFonts w:asciiTheme="majorHAnsi" w:hAnsiTheme="majorHAnsi"/>
          <w:b/>
          <w:sz w:val="28"/>
          <w:szCs w:val="28"/>
        </w:rPr>
        <w:t xml:space="preserve"> (Joint and Several)</w:t>
      </w:r>
    </w:p>
    <w:p w:rsidR="003F15DF" w:rsidRPr="00621FDE" w:rsidRDefault="003F15DF" w:rsidP="00621FD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621FDE" w:rsidRPr="00AF6292" w:rsidRDefault="00621FDE" w:rsidP="00621F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292">
        <w:rPr>
          <w:rFonts w:asciiTheme="majorHAnsi" w:hAnsiTheme="majorHAnsi"/>
        </w:rPr>
        <w:t>Court Ordered Fines and Fees</w:t>
      </w:r>
    </w:p>
    <w:p w:rsidR="00621FDE" w:rsidRPr="00AF6292" w:rsidRDefault="00621FDE" w:rsidP="00621F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292">
        <w:rPr>
          <w:rFonts w:asciiTheme="majorHAnsi" w:hAnsiTheme="majorHAnsi"/>
        </w:rPr>
        <w:t>Victim Restitution</w:t>
      </w:r>
    </w:p>
    <w:p w:rsidR="00AF6292" w:rsidRPr="00AF6292" w:rsidRDefault="00AF6292" w:rsidP="00621FD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F6292">
        <w:rPr>
          <w:rFonts w:asciiTheme="majorHAnsi" w:hAnsiTheme="majorHAnsi"/>
        </w:rPr>
        <w:t xml:space="preserve">Installment Payment Fee </w:t>
      </w:r>
    </w:p>
    <w:p w:rsidR="00AF6292" w:rsidRPr="00AF6292" w:rsidRDefault="00AF6292" w:rsidP="00AF6292">
      <w:pPr>
        <w:rPr>
          <w:rFonts w:asciiTheme="majorHAnsi" w:hAnsiTheme="majorHAnsi"/>
          <w:b/>
          <w:sz w:val="28"/>
          <w:szCs w:val="28"/>
        </w:rPr>
      </w:pPr>
      <w:r w:rsidRPr="00AF6292">
        <w:rPr>
          <w:rFonts w:asciiTheme="majorHAnsi" w:hAnsiTheme="majorHAnsi"/>
          <w:b/>
          <w:sz w:val="28"/>
          <w:szCs w:val="28"/>
        </w:rPr>
        <w:t>Payment Options</w:t>
      </w:r>
    </w:p>
    <w:p w:rsidR="00AF6292" w:rsidRPr="00AF6292" w:rsidRDefault="00AF6292" w:rsidP="00AF6292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 xml:space="preserve">You may pay by cash, credit card (Visa, MasterCard, and American Express),and debit card with a Visa or MasterCard logo, cashier ’s check, money order, or personal check. 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721A7D" w:rsidRDefault="00AF6292" w:rsidP="00AF6292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721A7D">
        <w:rPr>
          <w:rFonts w:ascii="Cambria" w:eastAsia="Times New Roman" w:hAnsi="Cambria" w:cs="Times New Roman"/>
          <w:b/>
          <w:i/>
        </w:rPr>
        <w:t>Pay In Person or By Mail</w:t>
      </w:r>
    </w:p>
    <w:p w:rsidR="00AF6292" w:rsidRPr="00AF6292" w:rsidRDefault="00AF6292" w:rsidP="00AF6292">
      <w:pPr>
        <w:spacing w:after="0" w:line="240" w:lineRule="auto"/>
        <w:ind w:left="720"/>
        <w:rPr>
          <w:rFonts w:ascii="Cambria" w:eastAsia="Times New Roman" w:hAnsi="Cambria" w:cs="Times New Roman"/>
          <w:i/>
        </w:rPr>
      </w:pP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  <w:t>Payments can be made at: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  <w:t>Recovery and Reimbursement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  <w:t>220 South Lassen, Suite 3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  <w:t>Susanville, Ca. 96130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  <w:t xml:space="preserve">Please make checks or money order to </w:t>
      </w:r>
      <w:r w:rsidRPr="00AF6292">
        <w:rPr>
          <w:rFonts w:ascii="Cambria" w:eastAsia="Times New Roman" w:hAnsi="Cambria" w:cs="Times New Roman"/>
          <w:b/>
        </w:rPr>
        <w:t>Recovery and Reimbursement</w:t>
      </w:r>
      <w:r w:rsidRPr="00AF6292">
        <w:rPr>
          <w:rFonts w:ascii="Cambria" w:eastAsia="Times New Roman" w:hAnsi="Cambria" w:cs="Times New Roman"/>
        </w:rPr>
        <w:t>.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AF6292">
      <w:pPr>
        <w:spacing w:after="0" w:line="240" w:lineRule="auto"/>
        <w:ind w:left="144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***Include your client number or docket number on all checks or money orders to ensure proper processing.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721A7D" w:rsidRDefault="00AF6292" w:rsidP="00AF6292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721A7D">
        <w:rPr>
          <w:rFonts w:ascii="Cambria" w:eastAsia="Times New Roman" w:hAnsi="Cambria" w:cs="Times New Roman"/>
          <w:b/>
          <w:i/>
        </w:rPr>
        <w:t>Pay Online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AF6292">
      <w:pPr>
        <w:tabs>
          <w:tab w:val="left" w:pos="1440"/>
        </w:tabs>
        <w:spacing w:after="0" w:line="240" w:lineRule="auto"/>
        <w:ind w:left="144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You may pay by credit card (Visa, MasterCard, and American Express)</w:t>
      </w:r>
      <w:proofErr w:type="gramStart"/>
      <w:r w:rsidRPr="00AF6292">
        <w:rPr>
          <w:rFonts w:ascii="Cambria" w:eastAsia="Times New Roman" w:hAnsi="Cambria" w:cs="Times New Roman"/>
        </w:rPr>
        <w:t>,and</w:t>
      </w:r>
      <w:proofErr w:type="gramEnd"/>
      <w:r w:rsidRPr="00AF6292">
        <w:rPr>
          <w:rFonts w:ascii="Cambria" w:eastAsia="Times New Roman" w:hAnsi="Cambria" w:cs="Times New Roman"/>
        </w:rPr>
        <w:t xml:space="preserve"> debit card with a Visa or MasterCard logo. 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AF6292">
      <w:pPr>
        <w:spacing w:after="0" w:line="240" w:lineRule="auto"/>
        <w:ind w:left="720" w:firstLine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 xml:space="preserve">Payments can be made on </w:t>
      </w:r>
      <w:hyperlink r:id="rId9" w:history="1">
        <w:r w:rsidRPr="00AF6292">
          <w:rPr>
            <w:rFonts w:ascii="Cambria" w:eastAsia="Times New Roman" w:hAnsi="Cambria" w:cs="Times New Roman"/>
            <w:color w:val="0000FF"/>
            <w:u w:val="single"/>
          </w:rPr>
          <w:t>www.officalpayments.com</w:t>
        </w:r>
      </w:hyperlink>
      <w:r w:rsidRPr="00AF6292">
        <w:rPr>
          <w:rFonts w:ascii="Cambria" w:eastAsia="Times New Roman" w:hAnsi="Cambria" w:cs="Times New Roman"/>
        </w:rPr>
        <w:t xml:space="preserve"> –choose local payments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AF6292">
      <w:p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  <w:b/>
        </w:rPr>
        <w:t>Note:</w:t>
      </w:r>
      <w:r w:rsidRPr="00AF6292">
        <w:rPr>
          <w:rFonts w:ascii="Cambria" w:eastAsia="Times New Roman" w:hAnsi="Cambria" w:cs="Times New Roman"/>
        </w:rPr>
        <w:tab/>
        <w:t>Additional fees of $2.95 apply for all credit card and debit card payments.</w:t>
      </w:r>
    </w:p>
    <w:p w:rsid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3F15DF" w:rsidRPr="00AF6292" w:rsidRDefault="003F15DF" w:rsidP="00AF6292">
      <w:pPr>
        <w:spacing w:after="0" w:line="240" w:lineRule="auto"/>
        <w:rPr>
          <w:rFonts w:ascii="Cambria" w:eastAsia="Times New Roman" w:hAnsi="Cambria" w:cs="Times New Roman"/>
        </w:rPr>
      </w:pPr>
      <w:bookmarkStart w:id="0" w:name="_GoBack"/>
      <w:bookmarkEnd w:id="0"/>
    </w:p>
    <w:p w:rsidR="00AF6292" w:rsidRPr="00721A7D" w:rsidRDefault="00AF6292" w:rsidP="00721A7D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721A7D">
        <w:rPr>
          <w:rFonts w:ascii="Cambria" w:eastAsia="Times New Roman" w:hAnsi="Cambria" w:cs="Times New Roman"/>
          <w:b/>
          <w:i/>
        </w:rPr>
        <w:lastRenderedPageBreak/>
        <w:t>Online Banking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Default="00AF6292" w:rsidP="00721A7D">
      <w:pPr>
        <w:spacing w:after="0" w:line="240" w:lineRule="auto"/>
        <w:ind w:left="144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 xml:space="preserve">Check with your financial institution for information regarding online bill pay. Please make online banking checks payable to </w:t>
      </w:r>
      <w:r w:rsidRPr="00AF6292">
        <w:rPr>
          <w:rFonts w:ascii="Cambria" w:eastAsia="Times New Roman" w:hAnsi="Cambria" w:cs="Times New Roman"/>
          <w:b/>
        </w:rPr>
        <w:t>Recovery and Reimbursement</w:t>
      </w:r>
      <w:r w:rsidRPr="00AF6292">
        <w:rPr>
          <w:rFonts w:ascii="Cambria" w:eastAsia="Times New Roman" w:hAnsi="Cambria" w:cs="Times New Roman"/>
        </w:rPr>
        <w:t>.</w:t>
      </w:r>
    </w:p>
    <w:p w:rsidR="00721A7D" w:rsidRPr="00AF6292" w:rsidRDefault="00721A7D" w:rsidP="00721A7D">
      <w:pPr>
        <w:spacing w:after="0" w:line="240" w:lineRule="auto"/>
        <w:ind w:left="1440"/>
        <w:rPr>
          <w:rFonts w:ascii="Cambria" w:eastAsia="Times New Roman" w:hAnsi="Cambria" w:cs="Times New Roman"/>
        </w:rPr>
      </w:pPr>
    </w:p>
    <w:p w:rsidR="00AF6292" w:rsidRPr="00AF6292" w:rsidRDefault="00AF6292" w:rsidP="00721A7D">
      <w:pPr>
        <w:spacing w:after="0" w:line="240" w:lineRule="auto"/>
        <w:ind w:left="144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***Include your client number or docket number on all checks to ensure proper processing.</w:t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AF6292">
        <w:rPr>
          <w:rFonts w:ascii="Cambria" w:eastAsia="Times New Roman" w:hAnsi="Cambria" w:cs="Times New Roman"/>
          <w:b/>
          <w:sz w:val="28"/>
          <w:szCs w:val="28"/>
        </w:rPr>
        <w:t xml:space="preserve">Failure </w:t>
      </w:r>
      <w:r w:rsidR="00F615E3" w:rsidRPr="00AF6292">
        <w:rPr>
          <w:rFonts w:ascii="Cambria" w:eastAsia="Times New Roman" w:hAnsi="Cambria" w:cs="Times New Roman"/>
          <w:b/>
          <w:sz w:val="28"/>
          <w:szCs w:val="28"/>
        </w:rPr>
        <w:t>to</w:t>
      </w:r>
      <w:r w:rsidRPr="00AF6292">
        <w:rPr>
          <w:rFonts w:ascii="Cambria" w:eastAsia="Times New Roman" w:hAnsi="Cambria" w:cs="Times New Roman"/>
          <w:b/>
          <w:sz w:val="28"/>
          <w:szCs w:val="28"/>
        </w:rPr>
        <w:t xml:space="preserve"> Pay</w:t>
      </w:r>
    </w:p>
    <w:p w:rsidR="00AF6292" w:rsidRPr="00AF6292" w:rsidRDefault="00AF6292" w:rsidP="00AF6292">
      <w:pPr>
        <w:spacing w:after="0" w:line="240" w:lineRule="auto"/>
        <w:ind w:left="720"/>
        <w:rPr>
          <w:rFonts w:ascii="Cambria" w:eastAsia="Times New Roman" w:hAnsi="Cambria" w:cs="Times New Roman"/>
        </w:rPr>
      </w:pPr>
    </w:p>
    <w:p w:rsidR="00AF6292" w:rsidRDefault="00AF6292" w:rsidP="00883DA2">
      <w:pPr>
        <w:spacing w:after="0" w:line="240" w:lineRule="auto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Failure to pay court-ordered fine, fee, or penalty could result in collection through the following:</w:t>
      </w:r>
    </w:p>
    <w:p w:rsidR="003F15DF" w:rsidRPr="00AF6292" w:rsidRDefault="003F15DF" w:rsidP="00883DA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883DA2">
      <w:pPr>
        <w:numPr>
          <w:ilvl w:val="0"/>
          <w:numId w:val="3"/>
        </w:num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Hearing for allegation of Violation of Probation</w:t>
      </w:r>
    </w:p>
    <w:p w:rsidR="00AF6292" w:rsidRPr="00AF6292" w:rsidRDefault="00AF6292" w:rsidP="00883DA2">
      <w:pPr>
        <w:numPr>
          <w:ilvl w:val="0"/>
          <w:numId w:val="3"/>
        </w:num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Wage garnishment</w:t>
      </w:r>
    </w:p>
    <w:p w:rsidR="00AF6292" w:rsidRPr="00AF6292" w:rsidRDefault="00AF6292" w:rsidP="00883DA2">
      <w:pPr>
        <w:numPr>
          <w:ilvl w:val="0"/>
          <w:numId w:val="3"/>
        </w:num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Liens on property</w:t>
      </w:r>
    </w:p>
    <w:p w:rsidR="00AF6292" w:rsidRPr="00AF6292" w:rsidRDefault="00AF6292" w:rsidP="00883DA2">
      <w:pPr>
        <w:numPr>
          <w:ilvl w:val="0"/>
          <w:numId w:val="3"/>
        </w:num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Franchise Tax Board- Tax Refund Intercept</w:t>
      </w:r>
    </w:p>
    <w:p w:rsidR="00AF6292" w:rsidRPr="00AF6292" w:rsidRDefault="00AF6292" w:rsidP="00883DA2">
      <w:pPr>
        <w:numPr>
          <w:ilvl w:val="0"/>
          <w:numId w:val="3"/>
        </w:num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Franchise Tax Board- Collection Agency</w:t>
      </w:r>
    </w:p>
    <w:p w:rsidR="00AF6292" w:rsidRPr="00AF6292" w:rsidRDefault="00AF6292" w:rsidP="00883DA2">
      <w:pPr>
        <w:numPr>
          <w:ilvl w:val="0"/>
          <w:numId w:val="3"/>
        </w:num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Civil Assessment</w:t>
      </w:r>
    </w:p>
    <w:p w:rsidR="00AF6292" w:rsidRPr="00AF6292" w:rsidRDefault="00AF6292" w:rsidP="00883DA2">
      <w:pPr>
        <w:numPr>
          <w:ilvl w:val="0"/>
          <w:numId w:val="3"/>
        </w:numPr>
        <w:spacing w:after="0" w:line="240" w:lineRule="auto"/>
        <w:ind w:left="720"/>
        <w:rPr>
          <w:rFonts w:ascii="Cambria" w:eastAsia="Times New Roman" w:hAnsi="Cambria" w:cs="Times New Roman"/>
        </w:rPr>
      </w:pPr>
      <w:r w:rsidRPr="00AF6292">
        <w:rPr>
          <w:rFonts w:ascii="Cambria" w:eastAsia="Times New Roman" w:hAnsi="Cambria" w:cs="Times New Roman"/>
        </w:rPr>
        <w:t>Outside collection agency</w:t>
      </w: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</w:r>
      <w:r w:rsidRPr="00AF6292">
        <w:rPr>
          <w:rFonts w:ascii="Cambria" w:eastAsia="Times New Roman" w:hAnsi="Cambria" w:cs="Times New Roman"/>
        </w:rPr>
        <w:tab/>
      </w:r>
    </w:p>
    <w:p w:rsidR="00AF6292" w:rsidRPr="00AF6292" w:rsidRDefault="00AF6292" w:rsidP="00AF6292">
      <w:pPr>
        <w:spacing w:after="0" w:line="240" w:lineRule="auto"/>
        <w:rPr>
          <w:rFonts w:ascii="Cambria" w:eastAsia="Times New Roman" w:hAnsi="Cambria" w:cs="Times New Roman"/>
        </w:rPr>
      </w:pPr>
    </w:p>
    <w:p w:rsidR="00AF6292" w:rsidRPr="00AF6292" w:rsidRDefault="00AF6292" w:rsidP="00883DA2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AF6292">
        <w:rPr>
          <w:rFonts w:ascii="Cambria" w:eastAsia="Times New Roman" w:hAnsi="Cambria" w:cs="Times New Roman"/>
          <w:b/>
          <w:sz w:val="28"/>
          <w:szCs w:val="28"/>
        </w:rPr>
        <w:t>Bankruptcy Information</w:t>
      </w:r>
    </w:p>
    <w:p w:rsidR="00AF6292" w:rsidRPr="00AF6292" w:rsidRDefault="00AF6292" w:rsidP="00AF6292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AF6292" w:rsidRPr="00AF6292" w:rsidRDefault="00AF6292" w:rsidP="00883DA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F6292">
        <w:rPr>
          <w:rFonts w:ascii="Cambria" w:eastAsia="Times New Roman" w:hAnsi="Cambria" w:cs="Times New Roman"/>
          <w:sz w:val="24"/>
          <w:szCs w:val="24"/>
        </w:rPr>
        <w:t xml:space="preserve">Court-ordered fines, fees, and assessments are </w:t>
      </w:r>
      <w:r w:rsidRPr="00AF6292">
        <w:rPr>
          <w:rFonts w:ascii="Cambria" w:eastAsia="Times New Roman" w:hAnsi="Cambria" w:cs="Times New Roman"/>
          <w:b/>
          <w:i/>
          <w:sz w:val="24"/>
          <w:szCs w:val="24"/>
        </w:rPr>
        <w:t>NOT</w:t>
      </w:r>
      <w:r w:rsidRPr="00AF6292">
        <w:rPr>
          <w:rFonts w:ascii="Cambria" w:eastAsia="Times New Roman" w:hAnsi="Cambria" w:cs="Times New Roman"/>
          <w:sz w:val="24"/>
          <w:szCs w:val="24"/>
        </w:rPr>
        <w:t xml:space="preserve"> eligible for discharge.</w:t>
      </w:r>
    </w:p>
    <w:p w:rsidR="00AF6292" w:rsidRPr="00AF6292" w:rsidRDefault="00AF6292" w:rsidP="00883DA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AF6292" w:rsidRPr="00AF6292" w:rsidRDefault="00AF6292" w:rsidP="00883DA2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F6292">
        <w:rPr>
          <w:rFonts w:ascii="Cambria" w:eastAsia="Times New Roman" w:hAnsi="Cambria" w:cs="Times New Roman"/>
          <w:sz w:val="24"/>
          <w:szCs w:val="24"/>
        </w:rPr>
        <w:t>Any fines, fees, and restitution imposed by the court are still enforced as outlined in Title 11 of USCS, §523, “Exceptions to discharge” (a</w:t>
      </w:r>
      <w:proofErr w:type="gramStart"/>
      <w:r w:rsidRPr="00AF6292">
        <w:rPr>
          <w:rFonts w:ascii="Cambria" w:eastAsia="Times New Roman" w:hAnsi="Cambria" w:cs="Times New Roman"/>
          <w:sz w:val="24"/>
          <w:szCs w:val="24"/>
        </w:rPr>
        <w:t>)(</w:t>
      </w:r>
      <w:proofErr w:type="gramEnd"/>
      <w:r w:rsidRPr="00AF6292">
        <w:rPr>
          <w:rFonts w:ascii="Cambria" w:eastAsia="Times New Roman" w:hAnsi="Cambria" w:cs="Times New Roman"/>
          <w:sz w:val="24"/>
          <w:szCs w:val="24"/>
        </w:rPr>
        <w:t xml:space="preserve">6), (7), (9), and (13). These codes state in part, “…to the extent debt is for a fine, penalty, forfeiture payable to and for the benefit of a government unit, and is not compensation for actual pecuniary (commercial) loss, other than a tax penalty.” </w:t>
      </w:r>
    </w:p>
    <w:p w:rsidR="00AF6292" w:rsidRPr="00AF6292" w:rsidRDefault="00AF6292" w:rsidP="00AF6292">
      <w:pPr>
        <w:rPr>
          <w:rFonts w:asciiTheme="majorHAnsi" w:hAnsiTheme="majorHAnsi"/>
          <w:sz w:val="28"/>
          <w:szCs w:val="28"/>
        </w:rPr>
      </w:pPr>
    </w:p>
    <w:p w:rsidR="00621FDE" w:rsidRPr="00621FDE" w:rsidRDefault="00621FDE" w:rsidP="00621FDE">
      <w:pPr>
        <w:rPr>
          <w:rFonts w:asciiTheme="majorHAnsi" w:hAnsiTheme="majorHAnsi"/>
          <w:sz w:val="28"/>
          <w:szCs w:val="28"/>
        </w:rPr>
      </w:pPr>
    </w:p>
    <w:p w:rsidR="00621FDE" w:rsidRDefault="00621FDE" w:rsidP="00621FDE">
      <w:pPr>
        <w:rPr>
          <w:rFonts w:asciiTheme="majorHAnsi" w:hAnsiTheme="majorHAnsi"/>
          <w:sz w:val="24"/>
          <w:szCs w:val="24"/>
        </w:rPr>
      </w:pPr>
    </w:p>
    <w:p w:rsidR="00621FDE" w:rsidRDefault="00621FDE" w:rsidP="00621FDE">
      <w:pPr>
        <w:rPr>
          <w:rFonts w:asciiTheme="majorHAnsi" w:hAnsiTheme="majorHAnsi"/>
          <w:sz w:val="24"/>
          <w:szCs w:val="24"/>
        </w:rPr>
      </w:pPr>
    </w:p>
    <w:p w:rsidR="00621FDE" w:rsidRDefault="00621FDE" w:rsidP="00621FDE">
      <w:pPr>
        <w:rPr>
          <w:rFonts w:asciiTheme="majorHAnsi" w:hAnsiTheme="majorHAnsi"/>
          <w:sz w:val="24"/>
          <w:szCs w:val="24"/>
        </w:rPr>
      </w:pPr>
    </w:p>
    <w:p w:rsidR="00621FDE" w:rsidRPr="00621FDE" w:rsidRDefault="00621FDE" w:rsidP="00621FDE">
      <w:pPr>
        <w:rPr>
          <w:rFonts w:asciiTheme="majorHAnsi" w:hAnsiTheme="majorHAnsi"/>
          <w:sz w:val="24"/>
          <w:szCs w:val="24"/>
        </w:rPr>
      </w:pPr>
    </w:p>
    <w:sectPr w:rsidR="00621FDE" w:rsidRPr="00621F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A2" w:rsidRDefault="00883DA2" w:rsidP="00883DA2">
      <w:pPr>
        <w:spacing w:after="0" w:line="240" w:lineRule="auto"/>
      </w:pPr>
      <w:r>
        <w:separator/>
      </w:r>
    </w:p>
  </w:endnote>
  <w:endnote w:type="continuationSeparator" w:id="0">
    <w:p w:rsidR="00883DA2" w:rsidRDefault="00883DA2" w:rsidP="008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A2" w:rsidRDefault="00883D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3DA2">
      <w:rPr>
        <w:rFonts w:asciiTheme="majorHAnsi" w:eastAsiaTheme="majorEastAsia" w:hAnsiTheme="majorHAnsi" w:cstheme="majorBidi"/>
        <w:sz w:val="16"/>
        <w:szCs w:val="16"/>
      </w:rPr>
      <w:t>S</w:t>
    </w:r>
    <w:r w:rsidR="00F615E3">
      <w:rPr>
        <w:rFonts w:asciiTheme="majorHAnsi" w:eastAsiaTheme="majorEastAsia" w:hAnsiTheme="majorHAnsi" w:cstheme="majorBidi"/>
        <w:sz w:val="16"/>
        <w:szCs w:val="16"/>
      </w:rPr>
      <w:t>/Collections/Juvenile/Guide To Juvenile Fines and Fees</w:t>
    </w:r>
    <w:r w:rsidR="00F615E3">
      <w:rPr>
        <w:rFonts w:asciiTheme="majorHAnsi" w:eastAsiaTheme="majorEastAsia" w:hAnsiTheme="majorHAnsi" w:cstheme="majorBidi"/>
        <w:sz w:val="16"/>
        <w:szCs w:val="16"/>
      </w:rPr>
      <w:tab/>
    </w:r>
    <w:r w:rsidR="00F615E3">
      <w:rPr>
        <w:rFonts w:asciiTheme="majorHAnsi" w:eastAsiaTheme="majorEastAsia" w:hAnsiTheme="majorHAnsi" w:cstheme="majorBidi"/>
        <w:sz w:val="16"/>
        <w:szCs w:val="16"/>
      </w:rPr>
      <w:tab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F15DF" w:rsidRPr="003F15D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83DA2" w:rsidRDefault="00883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A2" w:rsidRDefault="00883DA2" w:rsidP="00883DA2">
      <w:pPr>
        <w:spacing w:after="0" w:line="240" w:lineRule="auto"/>
      </w:pPr>
      <w:r>
        <w:separator/>
      </w:r>
    </w:p>
  </w:footnote>
  <w:footnote w:type="continuationSeparator" w:id="0">
    <w:p w:rsidR="00883DA2" w:rsidRDefault="00883DA2" w:rsidP="0088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BCE"/>
    <w:multiLevelType w:val="hybridMultilevel"/>
    <w:tmpl w:val="B944D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8E8"/>
    <w:multiLevelType w:val="hybridMultilevel"/>
    <w:tmpl w:val="C77678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C5F6C"/>
    <w:multiLevelType w:val="hybridMultilevel"/>
    <w:tmpl w:val="961E9B90"/>
    <w:lvl w:ilvl="0" w:tplc="436C0C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9B37F3"/>
    <w:multiLevelType w:val="hybridMultilevel"/>
    <w:tmpl w:val="303A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6515"/>
    <w:multiLevelType w:val="hybridMultilevel"/>
    <w:tmpl w:val="30DCB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B0C49"/>
    <w:multiLevelType w:val="hybridMultilevel"/>
    <w:tmpl w:val="F6FE2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C"/>
    <w:rsid w:val="003F15DF"/>
    <w:rsid w:val="00621FDE"/>
    <w:rsid w:val="00721A7D"/>
    <w:rsid w:val="00883DA2"/>
    <w:rsid w:val="00AF6292"/>
    <w:rsid w:val="00C52E96"/>
    <w:rsid w:val="00F615E3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A2"/>
  </w:style>
  <w:style w:type="paragraph" w:styleId="Footer">
    <w:name w:val="footer"/>
    <w:basedOn w:val="Normal"/>
    <w:link w:val="FooterChar"/>
    <w:uiPriority w:val="99"/>
    <w:unhideWhenUsed/>
    <w:rsid w:val="0088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A2"/>
  </w:style>
  <w:style w:type="paragraph" w:styleId="BalloonText">
    <w:name w:val="Balloon Text"/>
    <w:basedOn w:val="Normal"/>
    <w:link w:val="BalloonTextChar"/>
    <w:uiPriority w:val="99"/>
    <w:semiHidden/>
    <w:unhideWhenUsed/>
    <w:rsid w:val="008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A2"/>
  </w:style>
  <w:style w:type="paragraph" w:styleId="Footer">
    <w:name w:val="footer"/>
    <w:basedOn w:val="Normal"/>
    <w:link w:val="FooterChar"/>
    <w:uiPriority w:val="99"/>
    <w:unhideWhenUsed/>
    <w:rsid w:val="00883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A2"/>
  </w:style>
  <w:style w:type="paragraph" w:styleId="BalloonText">
    <w:name w:val="Balloon Text"/>
    <w:basedOn w:val="Normal"/>
    <w:link w:val="BalloonTextChar"/>
    <w:uiPriority w:val="99"/>
    <w:semiHidden/>
    <w:unhideWhenUsed/>
    <w:rsid w:val="008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fficalpay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85A2-4703-40A0-A419-99E4B50D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VL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Divine</dc:creator>
  <cp:lastModifiedBy>Kristina Divine</cp:lastModifiedBy>
  <cp:revision>3</cp:revision>
  <dcterms:created xsi:type="dcterms:W3CDTF">2016-02-24T22:57:00Z</dcterms:created>
  <dcterms:modified xsi:type="dcterms:W3CDTF">2016-02-24T23:21:00Z</dcterms:modified>
</cp:coreProperties>
</file>