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8D" w:rsidRDefault="004F058D" w:rsidP="00541B48">
      <w:pPr>
        <w:widowControl w:val="0"/>
        <w:tabs>
          <w:tab w:val="center" w:pos="6480"/>
        </w:tabs>
        <w:jc w:val="center"/>
        <w:rPr>
          <w:sz w:val="24"/>
          <w:szCs w:val="24"/>
        </w:rPr>
      </w:pPr>
    </w:p>
    <w:p w:rsidR="00E8458D" w:rsidRPr="00B75BD0" w:rsidRDefault="00CA6229" w:rsidP="002F1A05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*REVISED*</w:t>
      </w:r>
      <w:bookmarkStart w:id="0" w:name="_GoBack"/>
      <w:bookmarkEnd w:id="0"/>
    </w:p>
    <w:p w:rsidR="00B2109F" w:rsidRPr="00B75BD0" w:rsidRDefault="00B2109F" w:rsidP="002F1A05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B75BD0">
        <w:rPr>
          <w:sz w:val="22"/>
          <w:szCs w:val="22"/>
        </w:rPr>
        <w:t>LASSEN COUNTY</w:t>
      </w:r>
    </w:p>
    <w:p w:rsidR="00B2109F" w:rsidRPr="00B75BD0" w:rsidRDefault="00B2109F" w:rsidP="00B2109F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B75BD0">
        <w:rPr>
          <w:sz w:val="22"/>
          <w:szCs w:val="22"/>
        </w:rPr>
        <w:t>TECHNICAL ADVISORY COMMITTEE</w:t>
      </w:r>
      <w:r w:rsidR="00A61207" w:rsidRPr="00B75BD0">
        <w:rPr>
          <w:sz w:val="22"/>
          <w:szCs w:val="22"/>
        </w:rPr>
        <w:t xml:space="preserve"> AGENDA</w:t>
      </w:r>
    </w:p>
    <w:p w:rsidR="00B2109F" w:rsidRPr="0084436F" w:rsidRDefault="0084436F" w:rsidP="00847934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C22CBC">
        <w:rPr>
          <w:b/>
          <w:sz w:val="22"/>
          <w:szCs w:val="22"/>
        </w:rPr>
        <w:t xml:space="preserve">VETERANS Memorial Hall </w:t>
      </w:r>
      <w:r>
        <w:rPr>
          <w:b/>
          <w:sz w:val="22"/>
          <w:szCs w:val="22"/>
        </w:rPr>
        <w:t>*</w:t>
      </w:r>
    </w:p>
    <w:p w:rsidR="00B2109F" w:rsidRPr="0084436F" w:rsidRDefault="00C22CBC" w:rsidP="00B2109F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1205 Main St.</w:t>
      </w:r>
    </w:p>
    <w:p w:rsidR="00B2109F" w:rsidRPr="000608F4" w:rsidRDefault="00B2109F" w:rsidP="00B2109F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0608F4">
        <w:rPr>
          <w:b/>
          <w:sz w:val="22"/>
          <w:szCs w:val="22"/>
        </w:rPr>
        <w:t>SUSANVILLE, CA  96130</w:t>
      </w:r>
    </w:p>
    <w:p w:rsidR="00952F92" w:rsidRDefault="00512B2B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  <w:r w:rsidRPr="00B75BD0">
        <w:rPr>
          <w:color w:val="000000"/>
          <w:sz w:val="22"/>
          <w:szCs w:val="22"/>
        </w:rPr>
        <w:t>THURSDAY, APRIL 2</w:t>
      </w:r>
      <w:r w:rsidR="009B150A" w:rsidRPr="00B75BD0">
        <w:rPr>
          <w:color w:val="000000"/>
          <w:sz w:val="22"/>
          <w:szCs w:val="22"/>
        </w:rPr>
        <w:t>, 2020</w:t>
      </w:r>
    </w:p>
    <w:p w:rsidR="00A95F3E" w:rsidRDefault="00A95F3E" w:rsidP="00A95F3E">
      <w:pPr>
        <w:rPr>
          <w:b/>
          <w:sz w:val="24"/>
          <w:szCs w:val="24"/>
        </w:rPr>
      </w:pPr>
    </w:p>
    <w:p w:rsidR="006B6183" w:rsidRPr="0084436F" w:rsidRDefault="006B6183" w:rsidP="00A95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</w:t>
      </w:r>
      <w:r w:rsidR="00C22CBC">
        <w:rPr>
          <w:b/>
          <w:sz w:val="24"/>
          <w:szCs w:val="24"/>
        </w:rPr>
        <w:t>r directions to the Veterans Memorial Hall</w:t>
      </w:r>
      <w:r>
        <w:rPr>
          <w:b/>
          <w:sz w:val="24"/>
          <w:szCs w:val="24"/>
        </w:rPr>
        <w:t>, please call the Planning and Building Services Department at (530) 251-8269.</w:t>
      </w:r>
    </w:p>
    <w:p w:rsidR="00A95F3E" w:rsidRPr="00B75BD0" w:rsidRDefault="00A95F3E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</w:p>
    <w:p w:rsidR="00952F92" w:rsidRPr="00B75BD0" w:rsidRDefault="00B367DF" w:rsidP="00A95F3E">
      <w:pPr>
        <w:widowControl w:val="0"/>
        <w:tabs>
          <w:tab w:val="left" w:pos="-1440"/>
          <w:tab w:val="left" w:pos="1440"/>
        </w:tabs>
        <w:rPr>
          <w:sz w:val="22"/>
          <w:szCs w:val="22"/>
        </w:rPr>
      </w:pPr>
      <w:r w:rsidRPr="00B75BD0">
        <w:rPr>
          <w:color w:val="000000"/>
          <w:sz w:val="22"/>
          <w:szCs w:val="22"/>
        </w:rPr>
        <w:t>9:00 a</w:t>
      </w:r>
      <w:r w:rsidR="00952F92" w:rsidRPr="00B75BD0">
        <w:rPr>
          <w:color w:val="000000"/>
          <w:sz w:val="22"/>
          <w:szCs w:val="22"/>
        </w:rPr>
        <w:t>.m.</w:t>
      </w:r>
      <w:r w:rsidR="00952F92" w:rsidRPr="00B75BD0">
        <w:rPr>
          <w:sz w:val="22"/>
          <w:szCs w:val="22"/>
        </w:rPr>
        <w:tab/>
        <w:t xml:space="preserve">Convene in </w:t>
      </w:r>
      <w:r w:rsidR="008521A8" w:rsidRPr="00B75BD0">
        <w:rPr>
          <w:sz w:val="22"/>
          <w:szCs w:val="22"/>
        </w:rPr>
        <w:t>Regular</w:t>
      </w:r>
      <w:r w:rsidR="00952F92" w:rsidRPr="00B75BD0">
        <w:rPr>
          <w:sz w:val="22"/>
          <w:szCs w:val="22"/>
        </w:rPr>
        <w:t xml:space="preserve"> Session</w:t>
      </w:r>
    </w:p>
    <w:p w:rsidR="00952F92" w:rsidRPr="00B75BD0" w:rsidRDefault="00952F92" w:rsidP="00A94875">
      <w:pPr>
        <w:rPr>
          <w:sz w:val="22"/>
          <w:szCs w:val="22"/>
        </w:rPr>
      </w:pPr>
      <w:r w:rsidRPr="00B75BD0">
        <w:rPr>
          <w:sz w:val="22"/>
          <w:szCs w:val="22"/>
        </w:rPr>
        <w:tab/>
      </w:r>
      <w:r w:rsidRPr="00B75BD0">
        <w:rPr>
          <w:sz w:val="22"/>
          <w:szCs w:val="22"/>
        </w:rPr>
        <w:tab/>
        <w:t>Matters Initiated by the General Public</w:t>
      </w:r>
    </w:p>
    <w:p w:rsidR="004C05B8" w:rsidRPr="00B75BD0" w:rsidRDefault="004C05B8" w:rsidP="00A94875">
      <w:pPr>
        <w:rPr>
          <w:sz w:val="22"/>
          <w:szCs w:val="22"/>
        </w:rPr>
      </w:pPr>
    </w:p>
    <w:p w:rsidR="004C05B8" w:rsidRPr="00B75BD0" w:rsidRDefault="004C05B8" w:rsidP="004C05B8">
      <w:pPr>
        <w:pStyle w:val="NoSpacing"/>
        <w:rPr>
          <w:sz w:val="22"/>
          <w:szCs w:val="22"/>
        </w:rPr>
      </w:pPr>
      <w:r w:rsidRPr="00B75BD0">
        <w:rPr>
          <w:b/>
          <w:sz w:val="22"/>
          <w:szCs w:val="22"/>
        </w:rPr>
        <w:t>USE PERMIT #2020-001,</w:t>
      </w:r>
      <w:r w:rsidRPr="00B75BD0">
        <w:rPr>
          <w:sz w:val="22"/>
          <w:szCs w:val="22"/>
        </w:rPr>
        <w:t xml:space="preserve"> </w:t>
      </w:r>
      <w:r w:rsidRPr="00B75BD0">
        <w:rPr>
          <w:b/>
          <w:sz w:val="22"/>
          <w:szCs w:val="22"/>
        </w:rPr>
        <w:t xml:space="preserve">Stephen </w:t>
      </w:r>
      <w:proofErr w:type="spellStart"/>
      <w:r w:rsidRPr="00B75BD0">
        <w:rPr>
          <w:b/>
          <w:sz w:val="22"/>
          <w:szCs w:val="22"/>
        </w:rPr>
        <w:t>Polski</w:t>
      </w:r>
      <w:proofErr w:type="spellEnd"/>
      <w:r w:rsidRPr="00B75BD0">
        <w:rPr>
          <w:b/>
          <w:sz w:val="22"/>
          <w:szCs w:val="22"/>
        </w:rPr>
        <w:t xml:space="preserve"> </w:t>
      </w:r>
      <w:r w:rsidR="00A903C3">
        <w:rPr>
          <w:b/>
          <w:sz w:val="22"/>
          <w:szCs w:val="22"/>
        </w:rPr>
        <w:t xml:space="preserve">(applicant); </w:t>
      </w:r>
      <w:r w:rsidRPr="00B75BD0">
        <w:rPr>
          <w:b/>
          <w:sz w:val="22"/>
          <w:szCs w:val="22"/>
        </w:rPr>
        <w:t>Ian and Pamela Lee</w:t>
      </w:r>
      <w:r w:rsidR="00A903C3">
        <w:rPr>
          <w:b/>
          <w:sz w:val="22"/>
          <w:szCs w:val="22"/>
        </w:rPr>
        <w:t xml:space="preserve"> (owner</w:t>
      </w:r>
      <w:r w:rsidRPr="00B75BD0">
        <w:rPr>
          <w:b/>
          <w:sz w:val="22"/>
          <w:szCs w:val="22"/>
        </w:rPr>
        <w:t xml:space="preserve">). </w:t>
      </w:r>
      <w:r w:rsidRPr="00B75BD0">
        <w:rPr>
          <w:sz w:val="22"/>
          <w:szCs w:val="22"/>
        </w:rPr>
        <w:t xml:space="preserve">Proposal to convert the second story of an existing barn/garage into a second housing unit. The proposed second housing unit would be 672 square feet, while the remaining barn/garage would be 1,776 square feet. The subject parcel is zoned A-2-B-4 (Agricultural Residential, 4-Acre Building Site Combining District) and has a “Rural Residential” land use designation in the </w:t>
      </w:r>
      <w:r w:rsidRPr="00B75BD0">
        <w:rPr>
          <w:i/>
          <w:sz w:val="22"/>
          <w:szCs w:val="22"/>
        </w:rPr>
        <w:t>Janesville Planning Area, 1993</w:t>
      </w:r>
      <w:r w:rsidRPr="00B75BD0">
        <w:rPr>
          <w:sz w:val="22"/>
          <w:szCs w:val="22"/>
        </w:rPr>
        <w:t xml:space="preserve"> and Lassen</w:t>
      </w:r>
      <w:r w:rsidRPr="00B75BD0">
        <w:rPr>
          <w:i/>
          <w:sz w:val="22"/>
          <w:szCs w:val="22"/>
        </w:rPr>
        <w:t xml:space="preserve"> County General Plan, 2000.</w:t>
      </w:r>
      <w:r w:rsidRPr="00B75BD0">
        <w:rPr>
          <w:sz w:val="22"/>
          <w:szCs w:val="22"/>
        </w:rPr>
        <w:t xml:space="preserve"> The proposed project is exempt from the California Environmental Quality Act (CEQA) under Sections 15061(b</w:t>
      </w:r>
      <w:proofErr w:type="gramStart"/>
      <w:r w:rsidRPr="00B75BD0">
        <w:rPr>
          <w:sz w:val="22"/>
          <w:szCs w:val="22"/>
        </w:rPr>
        <w:t>)(</w:t>
      </w:r>
      <w:proofErr w:type="gramEnd"/>
      <w:r w:rsidRPr="00B75BD0">
        <w:rPr>
          <w:sz w:val="22"/>
          <w:szCs w:val="22"/>
        </w:rPr>
        <w:t>3), 15301, and 15303 of the 2020 CEQA Guidelines. The subject parcel site is located approximately one mile northeast of the intersection of Sunnyside and Standish-</w:t>
      </w:r>
      <w:proofErr w:type="spellStart"/>
      <w:r w:rsidRPr="00B75BD0">
        <w:rPr>
          <w:sz w:val="22"/>
          <w:szCs w:val="22"/>
        </w:rPr>
        <w:t>Buntingville</w:t>
      </w:r>
      <w:proofErr w:type="spellEnd"/>
      <w:r w:rsidRPr="00B75BD0">
        <w:rPr>
          <w:sz w:val="22"/>
          <w:szCs w:val="22"/>
        </w:rPr>
        <w:t xml:space="preserve"> Roads at 465-965 Lazy J Lane in Janesville, CA.</w:t>
      </w:r>
      <w:r w:rsidRPr="00B75BD0">
        <w:rPr>
          <w:i/>
          <w:sz w:val="22"/>
          <w:szCs w:val="22"/>
        </w:rPr>
        <w:t xml:space="preserve"> </w:t>
      </w:r>
      <w:r w:rsidRPr="00B75BD0">
        <w:rPr>
          <w:sz w:val="22"/>
          <w:szCs w:val="22"/>
        </w:rPr>
        <w:t>APN: 129-420-62. Staff Contact: Stefano Richichi, Senior Planner</w:t>
      </w:r>
    </w:p>
    <w:p w:rsidR="0073145E" w:rsidRPr="00B75BD0" w:rsidRDefault="0073145E" w:rsidP="004C05B8">
      <w:pPr>
        <w:pStyle w:val="NoSpacing"/>
        <w:rPr>
          <w:sz w:val="22"/>
          <w:szCs w:val="22"/>
        </w:rPr>
      </w:pPr>
    </w:p>
    <w:p w:rsidR="004C05B8" w:rsidRPr="00B75BD0" w:rsidRDefault="004C05B8" w:rsidP="004C05B8">
      <w:pPr>
        <w:rPr>
          <w:sz w:val="22"/>
          <w:szCs w:val="22"/>
        </w:rPr>
      </w:pPr>
      <w:r w:rsidRPr="00B75BD0">
        <w:rPr>
          <w:b/>
          <w:sz w:val="22"/>
          <w:szCs w:val="22"/>
        </w:rPr>
        <w:t xml:space="preserve">PROJECT DESCRIPTION:  NOTICE OF INTENT TO RECORD NOTICE OF VIOLATION NO. 2020-002, JOHN HENRY LIVING TRUST.  </w:t>
      </w:r>
      <w:r w:rsidRPr="00B75BD0">
        <w:rPr>
          <w:sz w:val="22"/>
          <w:szCs w:val="22"/>
        </w:rPr>
        <w:t>The Lassen County Technical Advisory Committee will receive and consider evidence to determine if a Notice of Violation should be recorded for a parcel of land 59 acres in size that is located approximately eleven miles northeasterly of Litchfield, California.  The subject property is located in a portion of Section 27, Township 31 North, Range 15 East, Mount Diablo Base and Meridian and the current zoning of the subject parcel is U-C-2 (Upland Conservation/Resource Management District).  A Notice of Violation will be recorded if the Technical Advisory Committee determines that the subject parcel was created in violation of the California Subdivision Map Act.  Assessor’s Parcel Number:  093-130-05.  Staff Contact:  Don Willis, P.L.S., Lassen County Surveyor.</w:t>
      </w:r>
    </w:p>
    <w:p w:rsidR="004C05B8" w:rsidRPr="00B75BD0" w:rsidRDefault="004C05B8" w:rsidP="004C05B8">
      <w:pPr>
        <w:rPr>
          <w:sz w:val="22"/>
          <w:szCs w:val="22"/>
        </w:rPr>
      </w:pPr>
    </w:p>
    <w:p w:rsidR="004C05B8" w:rsidRPr="00B75BD0" w:rsidRDefault="004C05B8" w:rsidP="004C05B8">
      <w:pPr>
        <w:rPr>
          <w:sz w:val="22"/>
          <w:szCs w:val="22"/>
        </w:rPr>
      </w:pPr>
      <w:r w:rsidRPr="00B75BD0">
        <w:rPr>
          <w:b/>
          <w:sz w:val="22"/>
          <w:szCs w:val="22"/>
        </w:rPr>
        <w:t xml:space="preserve">PROJECT DESCRIPTION:  NOTICE OF INTENT TO RECORD NOTICE OF VIOLATION NO. 2020-003, JAMES L. YOUNG.  </w:t>
      </w:r>
      <w:r w:rsidRPr="00B75BD0">
        <w:rPr>
          <w:sz w:val="22"/>
          <w:szCs w:val="22"/>
        </w:rPr>
        <w:t>The Lassen County Technical Advisory Committee will receive and consider evidence to determine if a Notice of Violation should be recorded for a parcel of land 39.31 acres in size that is located approximately twenty seven miles northerly of Susanville, California.  The subject property is located in a portion of Section 17, Township 34 North, Range 11 East, Mount Diablo Base and Meridian and the current zoning of the subject parcel is U-C-2 (Upland Conservation/Resource Management District).  A Notice of Violation will be recorded if the Technical Advisory Committee determines that the subject parcel was created in violation of the California Subdivision Map Act.  Assessor’s Parcel Number:  053-070-22.  Staff Contact:  Don Willis, P.L.S., Lassen County Surveyor.</w:t>
      </w:r>
    </w:p>
    <w:p w:rsidR="0060717B" w:rsidRPr="00B75BD0" w:rsidRDefault="0060717B" w:rsidP="00A94875">
      <w:pPr>
        <w:rPr>
          <w:sz w:val="22"/>
          <w:szCs w:val="22"/>
        </w:rPr>
      </w:pPr>
    </w:p>
    <w:p w:rsidR="004C05B8" w:rsidRPr="00B75BD0" w:rsidRDefault="004C05B8" w:rsidP="004C05B8">
      <w:pPr>
        <w:rPr>
          <w:sz w:val="22"/>
          <w:szCs w:val="22"/>
        </w:rPr>
      </w:pPr>
      <w:r w:rsidRPr="00B75BD0">
        <w:rPr>
          <w:b/>
          <w:sz w:val="22"/>
          <w:szCs w:val="22"/>
        </w:rPr>
        <w:t xml:space="preserve">MINOR AMENDMENT #2020-001 (Amendment to Reclamation Plan #2002-083), Hat Creek Construction, Inc. </w:t>
      </w:r>
      <w:r w:rsidRPr="00B75BD0">
        <w:rPr>
          <w:sz w:val="22"/>
          <w:szCs w:val="22"/>
        </w:rPr>
        <w:t xml:space="preserve">The applicant is proposing to amend reclamation plan requirements at the Hwy 299 Quarry (CA mine ID #91-18-0052). If approved, the amendment would remove remaining revegetation </w:t>
      </w:r>
      <w:r w:rsidRPr="00B75BD0">
        <w:rPr>
          <w:sz w:val="22"/>
          <w:szCs w:val="22"/>
        </w:rPr>
        <w:lastRenderedPageBreak/>
        <w:t xml:space="preserve">and reclamation requirements and allow the landowner (Sierra Pacific Industries, Inc.) to continue use of the surface mine with SMARA-exempt status under PRC § 2714(j). The surface mining operation currently occupies approximately 1.5 acres across three parcels totaling 1131.29 acres. The subject parcels are zoned T-P-Z (Timber Production Zone District) and are designated Extensive Agriculture by the </w:t>
      </w:r>
      <w:r w:rsidRPr="00B75BD0">
        <w:rPr>
          <w:i/>
          <w:sz w:val="22"/>
          <w:szCs w:val="22"/>
        </w:rPr>
        <w:t>Lassen County General Plan 2000</w:t>
      </w:r>
      <w:r w:rsidRPr="00B75BD0">
        <w:rPr>
          <w:sz w:val="22"/>
          <w:szCs w:val="22"/>
        </w:rPr>
        <w:t xml:space="preserve">. The project is located approximately 5.3 miles northwest of </w:t>
      </w:r>
      <w:proofErr w:type="spellStart"/>
      <w:r w:rsidRPr="00B75BD0">
        <w:rPr>
          <w:sz w:val="22"/>
          <w:szCs w:val="22"/>
        </w:rPr>
        <w:t>Nubieber</w:t>
      </w:r>
      <w:proofErr w:type="spellEnd"/>
      <w:r w:rsidRPr="00B75BD0">
        <w:rPr>
          <w:sz w:val="22"/>
          <w:szCs w:val="22"/>
        </w:rPr>
        <w:t>, CA and 6 miles north of Highway 299 in Lassen County. APN: 001-060-05, 06, 21. Staff Contact: Nancy McAllister, Associate Planner</w:t>
      </w:r>
    </w:p>
    <w:p w:rsidR="00DD15AB" w:rsidRDefault="00DD15AB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p w:rsidR="00FA5CB8" w:rsidRPr="008C2743" w:rsidRDefault="00FA5CB8" w:rsidP="00FA5CB8">
      <w:pPr>
        <w:rPr>
          <w:sz w:val="24"/>
          <w:szCs w:val="24"/>
        </w:rPr>
      </w:pPr>
      <w:r w:rsidRPr="008C2743">
        <w:rPr>
          <w:b/>
          <w:sz w:val="24"/>
          <w:szCs w:val="24"/>
        </w:rPr>
        <w:t>MERGER #2020-001, SRL Farms, LLC.</w:t>
      </w:r>
      <w:r w:rsidRPr="008C2743">
        <w:rPr>
          <w:sz w:val="24"/>
          <w:szCs w:val="24"/>
        </w:rPr>
        <w:t xml:space="preserve"> The applicant is proposing a merger between two parcels that together total approximately 88.8 acres. The subject parcels are zoned U-C-2-A-P (Upland Conservation/Resource Management District, Agricultural Preserve Combining District) and are designated “Extensive Agriculture” by the </w:t>
      </w:r>
      <w:r w:rsidRPr="008C2743">
        <w:rPr>
          <w:i/>
          <w:sz w:val="24"/>
          <w:szCs w:val="24"/>
        </w:rPr>
        <w:t>Lassen County General Plan, 2000</w:t>
      </w:r>
      <w:r w:rsidRPr="008C2743">
        <w:rPr>
          <w:sz w:val="24"/>
          <w:szCs w:val="24"/>
        </w:rPr>
        <w:t>. Parcel 1 does not have an address, while Parcel 2 is located at 488-505 Highway 395; both parcels are located along U.S. Highway 395</w:t>
      </w:r>
      <w:r>
        <w:rPr>
          <w:sz w:val="24"/>
          <w:szCs w:val="24"/>
        </w:rPr>
        <w:t xml:space="preserve">, </w:t>
      </w:r>
      <w:r w:rsidRPr="008C2743">
        <w:rPr>
          <w:sz w:val="24"/>
          <w:szCs w:val="24"/>
        </w:rPr>
        <w:t>approximately 6 miles north of the intersection of Smoke Creek Ranch Road and U.S. Highway</w:t>
      </w:r>
      <w:r>
        <w:rPr>
          <w:sz w:val="24"/>
          <w:szCs w:val="24"/>
        </w:rPr>
        <w:t xml:space="preserve"> 395</w:t>
      </w:r>
      <w:r w:rsidRPr="008C2743">
        <w:rPr>
          <w:sz w:val="24"/>
          <w:szCs w:val="24"/>
        </w:rPr>
        <w:t>.</w:t>
      </w:r>
      <w:r w:rsidRPr="008C2743">
        <w:rPr>
          <w:i/>
          <w:sz w:val="24"/>
          <w:szCs w:val="24"/>
        </w:rPr>
        <w:t xml:space="preserve"> </w:t>
      </w:r>
      <w:r w:rsidRPr="008C2743">
        <w:rPr>
          <w:sz w:val="24"/>
          <w:szCs w:val="24"/>
        </w:rPr>
        <w:t xml:space="preserve">Parcel 1: </w:t>
      </w:r>
      <w:r w:rsidRPr="008C2743">
        <w:rPr>
          <w:color w:val="000000"/>
          <w:sz w:val="24"/>
          <w:szCs w:val="24"/>
        </w:rPr>
        <w:t xml:space="preserve">APN 093-130-04. Parcel 2: APN 093-130-28. </w:t>
      </w:r>
      <w:r w:rsidRPr="008C2743">
        <w:rPr>
          <w:sz w:val="24"/>
          <w:szCs w:val="24"/>
        </w:rPr>
        <w:t xml:space="preserve">Staff Contact: </w:t>
      </w:r>
      <w:r w:rsidRPr="008C2743">
        <w:rPr>
          <w:color w:val="000000"/>
          <w:sz w:val="24"/>
          <w:szCs w:val="24"/>
        </w:rPr>
        <w:t xml:space="preserve">Stefano Richichi, Senior Planner </w:t>
      </w:r>
    </w:p>
    <w:p w:rsidR="00FA5CB8" w:rsidRPr="00BF0EF5" w:rsidRDefault="00FA5CB8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8"/>
      </w:tblGrid>
      <w:tr w:rsidR="00EA72C6" w:rsidRPr="00F10786" w:rsidTr="00EA72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 xml:space="preserve">Distribution: </w:t>
            </w:r>
          </w:p>
          <w:p w:rsidR="00FB724E" w:rsidRDefault="00EA72C6">
            <w:pPr>
              <w:tabs>
                <w:tab w:val="left" w:pos="1620"/>
              </w:tabs>
            </w:pPr>
            <w:r w:rsidRPr="00F10786">
              <w:t>County Planning &amp; Building Services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>County Fire Warden’s Office</w:t>
            </w:r>
          </w:p>
          <w:p w:rsidR="00FB724E" w:rsidRDefault="00EA72C6">
            <w:pPr>
              <w:tabs>
                <w:tab w:val="left" w:pos="1620"/>
              </w:tabs>
              <w:jc w:val="both"/>
            </w:pPr>
            <w:r w:rsidRPr="00F10786">
              <w:t>County Environmental Health Dept.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  <w:jc w:val="both"/>
            </w:pPr>
            <w:r w:rsidRPr="00F10786">
              <w:t>County Assessor’s Office</w:t>
            </w:r>
          </w:p>
          <w:p w:rsidR="00FB724E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Road Dept.</w:t>
            </w:r>
            <w:r w:rsidRPr="00F10786">
              <w:tab/>
            </w:r>
            <w:r w:rsidRPr="00F10786">
              <w:tab/>
            </w:r>
            <w:r w:rsidRPr="00F10786">
              <w:tab/>
            </w:r>
          </w:p>
          <w:p w:rsidR="00EA72C6" w:rsidRPr="00F10786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Surveyor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CAO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Agendas Only:</w:t>
            </w:r>
            <w:r w:rsidRPr="00F10786">
              <w:tab/>
            </w:r>
          </w:p>
          <w:p w:rsidR="00FB724E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Applicants/Agents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 xml:space="preserve">BOS 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County Clerk                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Counsel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Treasurer/Tax Collector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Post</w:t>
            </w:r>
          </w:p>
        </w:tc>
      </w:tr>
    </w:tbl>
    <w:p w:rsidR="002F1A05" w:rsidRDefault="002F1A05" w:rsidP="00EA72C6"/>
    <w:p w:rsidR="00937CB2" w:rsidRPr="00F10786" w:rsidRDefault="00EA72C6" w:rsidP="00EA72C6">
      <w:r w:rsidRPr="00F10786">
        <w:t>Lassen County Planning and Building Services 530-251-8269</w:t>
      </w:r>
      <w:r w:rsidRPr="00F10786">
        <w:tab/>
      </w:r>
    </w:p>
    <w:p w:rsidR="00937CB2" w:rsidRPr="00F10786" w:rsidRDefault="00AB0F83" w:rsidP="00937CB2">
      <w:pPr>
        <w:pStyle w:val="Footer"/>
      </w:pPr>
      <w:r w:rsidRPr="00F10786">
        <w:t xml:space="preserve">MLA: </w:t>
      </w:r>
      <w:proofErr w:type="spellStart"/>
      <w:r w:rsidRPr="00F10786">
        <w:t>aje</w:t>
      </w:r>
      <w:proofErr w:type="spellEnd"/>
    </w:p>
    <w:p w:rsidR="00EA72C6" w:rsidRPr="00AC7946" w:rsidRDefault="00EA72C6" w:rsidP="00EA72C6">
      <w:pPr>
        <w:rPr>
          <w:sz w:val="16"/>
          <w:szCs w:val="16"/>
        </w:rPr>
      </w:pPr>
      <w:r w:rsidRPr="00AC7946">
        <w:rPr>
          <w:sz w:val="16"/>
          <w:szCs w:val="16"/>
        </w:rPr>
        <w:tab/>
      </w:r>
      <w:r w:rsidRPr="00AC7946">
        <w:rPr>
          <w:sz w:val="16"/>
          <w:szCs w:val="16"/>
        </w:rPr>
        <w:tab/>
      </w:r>
    </w:p>
    <w:sectPr w:rsidR="00EA72C6" w:rsidRPr="00AC79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D" w:rsidRDefault="0029033D" w:rsidP="00952F92">
      <w:r>
        <w:separator/>
      </w:r>
    </w:p>
  </w:endnote>
  <w:endnote w:type="continuationSeparator" w:id="0">
    <w:p w:rsidR="0029033D" w:rsidRDefault="0029033D" w:rsidP="009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92" w:rsidRPr="00952F92" w:rsidRDefault="0066676D">
    <w:pPr>
      <w:pStyle w:val="Footer"/>
      <w:rPr>
        <w:sz w:val="16"/>
        <w:szCs w:val="16"/>
      </w:rPr>
    </w:pPr>
    <w:r>
      <w:rPr>
        <w:sz w:val="16"/>
        <w:szCs w:val="16"/>
      </w:rPr>
      <w:t>TAC</w:t>
    </w:r>
    <w:r w:rsidR="004C4382">
      <w:rPr>
        <w:sz w:val="16"/>
        <w:szCs w:val="16"/>
      </w:rPr>
      <w:t>/</w:t>
    </w:r>
    <w:r w:rsidR="00060673">
      <w:rPr>
        <w:sz w:val="16"/>
        <w:szCs w:val="16"/>
      </w:rPr>
      <w:t>AGENDA</w:t>
    </w:r>
    <w:r w:rsidR="0084515D">
      <w:rPr>
        <w:sz w:val="16"/>
        <w:szCs w:val="16"/>
      </w:rPr>
      <w:t xml:space="preserve"> </w:t>
    </w:r>
    <w:r w:rsidR="00512B2B">
      <w:rPr>
        <w:sz w:val="16"/>
        <w:szCs w:val="16"/>
      </w:rPr>
      <w:t>4/2/20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D" w:rsidRDefault="0029033D" w:rsidP="00952F92">
      <w:r>
        <w:separator/>
      </w:r>
    </w:p>
  </w:footnote>
  <w:footnote w:type="continuationSeparator" w:id="0">
    <w:p w:rsidR="0029033D" w:rsidRDefault="0029033D" w:rsidP="0095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2"/>
    <w:rsid w:val="00002E1B"/>
    <w:rsid w:val="000159B3"/>
    <w:rsid w:val="00027C80"/>
    <w:rsid w:val="000463B2"/>
    <w:rsid w:val="00060673"/>
    <w:rsid w:val="000608F4"/>
    <w:rsid w:val="0006318C"/>
    <w:rsid w:val="000702D5"/>
    <w:rsid w:val="00086DA4"/>
    <w:rsid w:val="00090CDF"/>
    <w:rsid w:val="00092D4C"/>
    <w:rsid w:val="000975CF"/>
    <w:rsid w:val="000A3AC7"/>
    <w:rsid w:val="000A6AA5"/>
    <w:rsid w:val="000B1173"/>
    <w:rsid w:val="000B5FAD"/>
    <w:rsid w:val="000C44C3"/>
    <w:rsid w:val="000D34ED"/>
    <w:rsid w:val="000D5E27"/>
    <w:rsid w:val="0011396D"/>
    <w:rsid w:val="00123CB3"/>
    <w:rsid w:val="0013557A"/>
    <w:rsid w:val="00136A9F"/>
    <w:rsid w:val="001770C0"/>
    <w:rsid w:val="00183518"/>
    <w:rsid w:val="00193DF7"/>
    <w:rsid w:val="001A0EF5"/>
    <w:rsid w:val="001A6421"/>
    <w:rsid w:val="001C7BEA"/>
    <w:rsid w:val="001D15AE"/>
    <w:rsid w:val="001D432D"/>
    <w:rsid w:val="00202E2E"/>
    <w:rsid w:val="0022285D"/>
    <w:rsid w:val="00232315"/>
    <w:rsid w:val="00233B75"/>
    <w:rsid w:val="00255D32"/>
    <w:rsid w:val="002569C5"/>
    <w:rsid w:val="00264D98"/>
    <w:rsid w:val="002729A8"/>
    <w:rsid w:val="00273ADB"/>
    <w:rsid w:val="0029033D"/>
    <w:rsid w:val="002949B0"/>
    <w:rsid w:val="002A3F44"/>
    <w:rsid w:val="002B4961"/>
    <w:rsid w:val="002B6951"/>
    <w:rsid w:val="002D13C3"/>
    <w:rsid w:val="002D1DF5"/>
    <w:rsid w:val="002E0CEF"/>
    <w:rsid w:val="002E207B"/>
    <w:rsid w:val="002E5AAF"/>
    <w:rsid w:val="002F1A05"/>
    <w:rsid w:val="002F4B11"/>
    <w:rsid w:val="00302B76"/>
    <w:rsid w:val="00320AC6"/>
    <w:rsid w:val="00330E97"/>
    <w:rsid w:val="003335CA"/>
    <w:rsid w:val="003523A5"/>
    <w:rsid w:val="00362198"/>
    <w:rsid w:val="00376BB5"/>
    <w:rsid w:val="003A0856"/>
    <w:rsid w:val="003A2786"/>
    <w:rsid w:val="003B7160"/>
    <w:rsid w:val="003C36BB"/>
    <w:rsid w:val="003C3AD1"/>
    <w:rsid w:val="003C5D6F"/>
    <w:rsid w:val="003C7FA8"/>
    <w:rsid w:val="003D2654"/>
    <w:rsid w:val="003D5A30"/>
    <w:rsid w:val="003E1045"/>
    <w:rsid w:val="003F147E"/>
    <w:rsid w:val="00410E57"/>
    <w:rsid w:val="004170CF"/>
    <w:rsid w:val="0044634B"/>
    <w:rsid w:val="004473E2"/>
    <w:rsid w:val="004579FC"/>
    <w:rsid w:val="00465C94"/>
    <w:rsid w:val="00470D97"/>
    <w:rsid w:val="00480505"/>
    <w:rsid w:val="004B3C7B"/>
    <w:rsid w:val="004C05B8"/>
    <w:rsid w:val="004C4382"/>
    <w:rsid w:val="004C4596"/>
    <w:rsid w:val="004E1AAA"/>
    <w:rsid w:val="004E292D"/>
    <w:rsid w:val="004E3302"/>
    <w:rsid w:val="004F058D"/>
    <w:rsid w:val="004F2C11"/>
    <w:rsid w:val="00500501"/>
    <w:rsid w:val="00512B2B"/>
    <w:rsid w:val="00531B83"/>
    <w:rsid w:val="00537953"/>
    <w:rsid w:val="00541B48"/>
    <w:rsid w:val="0054386E"/>
    <w:rsid w:val="00553BD2"/>
    <w:rsid w:val="00557F26"/>
    <w:rsid w:val="005613CF"/>
    <w:rsid w:val="00567C46"/>
    <w:rsid w:val="005719D4"/>
    <w:rsid w:val="00576BB4"/>
    <w:rsid w:val="00577FB5"/>
    <w:rsid w:val="00580489"/>
    <w:rsid w:val="00581B07"/>
    <w:rsid w:val="0058417D"/>
    <w:rsid w:val="005843A2"/>
    <w:rsid w:val="00584843"/>
    <w:rsid w:val="00590229"/>
    <w:rsid w:val="005C74D6"/>
    <w:rsid w:val="005D192B"/>
    <w:rsid w:val="005E3674"/>
    <w:rsid w:val="0060717B"/>
    <w:rsid w:val="00632193"/>
    <w:rsid w:val="00641CB8"/>
    <w:rsid w:val="00644D86"/>
    <w:rsid w:val="00645555"/>
    <w:rsid w:val="0065064E"/>
    <w:rsid w:val="006643BD"/>
    <w:rsid w:val="0066676D"/>
    <w:rsid w:val="006779B4"/>
    <w:rsid w:val="00692EB6"/>
    <w:rsid w:val="006B6183"/>
    <w:rsid w:val="006C61CA"/>
    <w:rsid w:val="007149E4"/>
    <w:rsid w:val="00720EF1"/>
    <w:rsid w:val="0073145E"/>
    <w:rsid w:val="00733C6F"/>
    <w:rsid w:val="007368B3"/>
    <w:rsid w:val="00747E6E"/>
    <w:rsid w:val="00780811"/>
    <w:rsid w:val="00790CBD"/>
    <w:rsid w:val="007B3B72"/>
    <w:rsid w:val="007C128D"/>
    <w:rsid w:val="007D7ED9"/>
    <w:rsid w:val="007E2EDF"/>
    <w:rsid w:val="007F1222"/>
    <w:rsid w:val="008007D0"/>
    <w:rsid w:val="00814C8B"/>
    <w:rsid w:val="008362B1"/>
    <w:rsid w:val="00843692"/>
    <w:rsid w:val="0084436F"/>
    <w:rsid w:val="00844D3B"/>
    <w:rsid w:val="0084515D"/>
    <w:rsid w:val="00847934"/>
    <w:rsid w:val="008521A8"/>
    <w:rsid w:val="00863040"/>
    <w:rsid w:val="00863B66"/>
    <w:rsid w:val="008679F4"/>
    <w:rsid w:val="00897464"/>
    <w:rsid w:val="008C3B17"/>
    <w:rsid w:val="008D645C"/>
    <w:rsid w:val="008F2161"/>
    <w:rsid w:val="00905490"/>
    <w:rsid w:val="00910532"/>
    <w:rsid w:val="0091089B"/>
    <w:rsid w:val="00937CB2"/>
    <w:rsid w:val="00952F92"/>
    <w:rsid w:val="00966192"/>
    <w:rsid w:val="0096642E"/>
    <w:rsid w:val="0098481F"/>
    <w:rsid w:val="009943E8"/>
    <w:rsid w:val="009B150A"/>
    <w:rsid w:val="00A40F5C"/>
    <w:rsid w:val="00A45F37"/>
    <w:rsid w:val="00A50AC1"/>
    <w:rsid w:val="00A511F8"/>
    <w:rsid w:val="00A61207"/>
    <w:rsid w:val="00A75F2A"/>
    <w:rsid w:val="00A8195A"/>
    <w:rsid w:val="00A81B0E"/>
    <w:rsid w:val="00A903C3"/>
    <w:rsid w:val="00A94875"/>
    <w:rsid w:val="00A95F3E"/>
    <w:rsid w:val="00AA4200"/>
    <w:rsid w:val="00AA5F05"/>
    <w:rsid w:val="00AB0F83"/>
    <w:rsid w:val="00AC0069"/>
    <w:rsid w:val="00AC7946"/>
    <w:rsid w:val="00AC7E45"/>
    <w:rsid w:val="00AE4B82"/>
    <w:rsid w:val="00AF7EF7"/>
    <w:rsid w:val="00B2109F"/>
    <w:rsid w:val="00B367DF"/>
    <w:rsid w:val="00B416A1"/>
    <w:rsid w:val="00B454BF"/>
    <w:rsid w:val="00B72625"/>
    <w:rsid w:val="00B75BD0"/>
    <w:rsid w:val="00B95CAD"/>
    <w:rsid w:val="00BB7B7E"/>
    <w:rsid w:val="00BF0EF5"/>
    <w:rsid w:val="00C112E8"/>
    <w:rsid w:val="00C13C62"/>
    <w:rsid w:val="00C13D74"/>
    <w:rsid w:val="00C16A41"/>
    <w:rsid w:val="00C22CBC"/>
    <w:rsid w:val="00C27A94"/>
    <w:rsid w:val="00C36990"/>
    <w:rsid w:val="00C406A4"/>
    <w:rsid w:val="00C55E35"/>
    <w:rsid w:val="00C60FA3"/>
    <w:rsid w:val="00C77EDA"/>
    <w:rsid w:val="00C82AE9"/>
    <w:rsid w:val="00CA6229"/>
    <w:rsid w:val="00CC14DB"/>
    <w:rsid w:val="00CC4C63"/>
    <w:rsid w:val="00CC64BB"/>
    <w:rsid w:val="00CD21B6"/>
    <w:rsid w:val="00CD6DE3"/>
    <w:rsid w:val="00CE17B0"/>
    <w:rsid w:val="00CF6E3D"/>
    <w:rsid w:val="00D06A3A"/>
    <w:rsid w:val="00D2022F"/>
    <w:rsid w:val="00D530F4"/>
    <w:rsid w:val="00D541BC"/>
    <w:rsid w:val="00D74549"/>
    <w:rsid w:val="00D74B48"/>
    <w:rsid w:val="00D8521F"/>
    <w:rsid w:val="00D951DE"/>
    <w:rsid w:val="00DB02B4"/>
    <w:rsid w:val="00DC14F2"/>
    <w:rsid w:val="00DD15AB"/>
    <w:rsid w:val="00DD1E88"/>
    <w:rsid w:val="00DE3C4E"/>
    <w:rsid w:val="00E07124"/>
    <w:rsid w:val="00E13371"/>
    <w:rsid w:val="00E215FD"/>
    <w:rsid w:val="00E25FAC"/>
    <w:rsid w:val="00E61874"/>
    <w:rsid w:val="00E72F97"/>
    <w:rsid w:val="00E8458D"/>
    <w:rsid w:val="00E84906"/>
    <w:rsid w:val="00E94494"/>
    <w:rsid w:val="00EA72C6"/>
    <w:rsid w:val="00EF1F94"/>
    <w:rsid w:val="00EF28E2"/>
    <w:rsid w:val="00EF590B"/>
    <w:rsid w:val="00EF62B6"/>
    <w:rsid w:val="00F10786"/>
    <w:rsid w:val="00F10F8C"/>
    <w:rsid w:val="00F14BF8"/>
    <w:rsid w:val="00F26A71"/>
    <w:rsid w:val="00F33D68"/>
    <w:rsid w:val="00FA5CB8"/>
    <w:rsid w:val="00FA5E2C"/>
    <w:rsid w:val="00FB724E"/>
    <w:rsid w:val="00FB7311"/>
    <w:rsid w:val="00FC67A3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62431CE3"/>
  <w15:docId w15:val="{FCA9E138-E3B2-4797-8A02-830A38D3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11"/>
    <w:pPr>
      <w:ind w:left="720"/>
      <w:contextualSpacing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C6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210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0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6196-CF4C-4CD2-835F-8927D518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Anetia Elliott</dc:creator>
  <cp:lastModifiedBy>Anetia Elliott</cp:lastModifiedBy>
  <cp:revision>170</cp:revision>
  <cp:lastPrinted>2020-03-24T21:02:00Z</cp:lastPrinted>
  <dcterms:created xsi:type="dcterms:W3CDTF">2016-12-22T00:59:00Z</dcterms:created>
  <dcterms:modified xsi:type="dcterms:W3CDTF">2020-03-31T19:35:00Z</dcterms:modified>
</cp:coreProperties>
</file>